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52727E">
        <w:rPr>
          <w:rFonts w:eastAsia="Times New Roman"/>
          <w:b/>
          <w:bCs/>
          <w:sz w:val="20"/>
          <w:szCs w:val="20"/>
        </w:rPr>
        <w:t>Юбилейный</w:t>
      </w:r>
      <w:r>
        <w:rPr>
          <w:rFonts w:eastAsia="Times New Roman"/>
          <w:b/>
          <w:bCs/>
          <w:sz w:val="20"/>
          <w:szCs w:val="20"/>
        </w:rPr>
        <w:t>, д.</w:t>
      </w:r>
      <w:r w:rsidR="00674416">
        <w:rPr>
          <w:rFonts w:eastAsia="Times New Roman"/>
          <w:b/>
          <w:bCs/>
          <w:sz w:val="20"/>
          <w:szCs w:val="20"/>
        </w:rPr>
        <w:t>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27E" w:rsidP="00C5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C57715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C57715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C57715">
              <w:rPr>
                <w:rFonts w:eastAsia="Times New Roman"/>
                <w:sz w:val="20"/>
                <w:szCs w:val="20"/>
              </w:rPr>
              <w:t>5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FC1F57">
              <w:rPr>
                <w:rFonts w:eastAsia="Times New Roman"/>
                <w:sz w:val="20"/>
                <w:szCs w:val="20"/>
              </w:rPr>
              <w:t>2</w:t>
            </w:r>
            <w:r w:rsidR="00707F9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C5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C5771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C5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C5771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300001,41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1769888,60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815312,36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604654,51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349921,73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1807863,55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1719740,53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70153,02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1807863,55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350149,48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C57715" w:rsidP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191766,26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C5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B1197C">
              <w:rPr>
                <w:rFonts w:eastAsia="Times New Roman"/>
                <w:sz w:val="20"/>
                <w:szCs w:val="20"/>
              </w:rPr>
              <w:t>2</w:t>
            </w:r>
            <w:r w:rsidR="00C5771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B1197C" w:rsidP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57715">
              <w:rPr>
                <w:sz w:val="20"/>
                <w:szCs w:val="20"/>
              </w:rPr>
              <w:t>62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3F0699" w:rsidP="00C57715">
            <w:r>
              <w:t xml:space="preserve"> </w:t>
            </w:r>
            <w:r w:rsidR="005A5688">
              <w:t xml:space="preserve"> </w:t>
            </w:r>
            <w:r w:rsidR="00C57715">
              <w:t>104599,78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327993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3279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5A5688">
            <w:r>
              <w:t xml:space="preserve">   </w:t>
            </w:r>
            <w:r w:rsidR="00B61F99">
              <w:t>1.</w:t>
            </w:r>
            <w:r w:rsidR="00C57715">
              <w:t>55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52299,89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A5688">
              <w:rPr>
                <w:sz w:val="20"/>
                <w:szCs w:val="20"/>
              </w:rPr>
              <w:t>7</w:t>
            </w:r>
            <w:r w:rsidR="00C57715">
              <w:rPr>
                <w:sz w:val="20"/>
                <w:szCs w:val="20"/>
              </w:rPr>
              <w:t>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58649,57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735F8" w:rsidP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A5688">
              <w:rPr>
                <w:sz w:val="20"/>
                <w:szCs w:val="20"/>
              </w:rPr>
              <w:t>8</w:t>
            </w:r>
            <w:r w:rsidR="00C57715">
              <w:rPr>
                <w:sz w:val="20"/>
                <w:szCs w:val="20"/>
              </w:rPr>
              <w:t>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C5771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4261,22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B531C1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C5771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8148,38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C5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C57715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C5771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19645,67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C5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186FFE">
              <w:rPr>
                <w:rFonts w:eastAsia="Times New Roman"/>
                <w:sz w:val="20"/>
                <w:szCs w:val="20"/>
              </w:rPr>
              <w:t>2</w:t>
            </w:r>
            <w:r w:rsidR="00C5771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2562</w:t>
            </w:r>
            <w:r w:rsidR="003B5690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5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8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275800,72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5278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5A5688">
              <w:rPr>
                <w:rFonts w:eastAsia="Times New Roman"/>
                <w:sz w:val="20"/>
                <w:szCs w:val="20"/>
              </w:rPr>
              <w:t>6</w:t>
            </w:r>
            <w:r w:rsidR="0052789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B531C1">
              <w:rPr>
                <w:rFonts w:eastAsia="Times New Roman"/>
                <w:sz w:val="20"/>
                <w:szCs w:val="20"/>
              </w:rPr>
              <w:t>1</w:t>
            </w:r>
            <w:r w:rsidR="005A568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531C1" w:rsidP="005278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52789B">
              <w:rPr>
                <w:sz w:val="20"/>
                <w:szCs w:val="20"/>
              </w:rPr>
              <w:t>3</w:t>
            </w:r>
            <w:r w:rsidR="005A5688">
              <w:rPr>
                <w:sz w:val="20"/>
                <w:szCs w:val="20"/>
              </w:rPr>
              <w:t>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8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53042,26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A5688" w:rsidP="005278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52789B">
              <w:rPr>
                <w:sz w:val="20"/>
                <w:szCs w:val="20"/>
              </w:rPr>
              <w:t>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A568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03D31">
              <w:rPr>
                <w:sz w:val="20"/>
                <w:szCs w:val="20"/>
              </w:rPr>
              <w:t>.00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272C8A">
            <w:r>
              <w:t xml:space="preserve"> </w:t>
            </w:r>
            <w:r w:rsidR="00B531C1">
              <w:t>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03D3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 w:rsidP="00527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5688">
              <w:rPr>
                <w:sz w:val="20"/>
                <w:szCs w:val="20"/>
              </w:rPr>
              <w:t xml:space="preserve">  </w:t>
            </w:r>
            <w:r w:rsidR="00B531C1">
              <w:rPr>
                <w:sz w:val="20"/>
                <w:szCs w:val="20"/>
              </w:rPr>
              <w:t>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31C1">
              <w:rPr>
                <w:sz w:val="20"/>
                <w:szCs w:val="20"/>
              </w:rPr>
              <w:t xml:space="preserve">  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868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ступеней 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2C8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5688">
              <w:rPr>
                <w:sz w:val="20"/>
                <w:szCs w:val="20"/>
              </w:rPr>
              <w:t xml:space="preserve">   0,00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8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323644,08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5278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52789B">
              <w:rPr>
                <w:sz w:val="20"/>
                <w:szCs w:val="20"/>
              </w:rPr>
              <w:t>78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8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294515,00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8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8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52789B">
        <w:trPr>
          <w:trHeight w:val="4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BB45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327993" w:rsidP="00BB4506">
            <w:pPr>
              <w:shd w:val="clear" w:color="auto" w:fill="FFFFFF" w:themeFill="background1"/>
              <w:jc w:val="center"/>
            </w:pPr>
            <w:r>
              <w:t>19</w:t>
            </w:r>
          </w:p>
        </w:tc>
      </w:tr>
      <w:tr w:rsidR="00BE1D6E" w:rsidTr="00BB45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</w:tr>
      <w:tr w:rsidR="00BE1D6E" w:rsidTr="00BB45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</w:p>
        </w:tc>
      </w:tr>
      <w:tr w:rsidR="00BE1D6E" w:rsidTr="00BB45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327993" w:rsidP="00BB4506">
            <w:pPr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BE1D6E" w:rsidTr="00BB45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</w:tr>
      <w:tr w:rsidR="00BE1D6E" w:rsidTr="00BB45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</w:p>
        </w:tc>
      </w:tr>
      <w:tr w:rsidR="00BE1D6E" w:rsidTr="00BB45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BB450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BE1D6E" w:rsidTr="00BB45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BB4506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327993" w:rsidP="00BB4506">
            <w:pPr>
              <w:shd w:val="clear" w:color="auto" w:fill="FFFFFF" w:themeFill="background1"/>
              <w:jc w:val="center"/>
            </w:pPr>
            <w:r>
              <w:t>18241,51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BB4506">
            <w:pPr>
              <w:shd w:val="clear" w:color="auto" w:fill="FFFFFF" w:themeFill="background1"/>
              <w:rPr>
                <w:sz w:val="9"/>
                <w:szCs w:val="9"/>
              </w:rPr>
            </w:pPr>
          </w:p>
        </w:tc>
      </w:tr>
    </w:tbl>
    <w:p w:rsidR="00BE1D6E" w:rsidRDefault="00BE1D6E" w:rsidP="00BB4506">
      <w:pPr>
        <w:shd w:val="clear" w:color="auto" w:fill="FFFFFF" w:themeFill="background1"/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547230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27768"/>
    <w:rsid w:val="000511E3"/>
    <w:rsid w:val="000C3B5D"/>
    <w:rsid w:val="00186FFE"/>
    <w:rsid w:val="001C643B"/>
    <w:rsid w:val="001F01D4"/>
    <w:rsid w:val="00256B03"/>
    <w:rsid w:val="00272C8A"/>
    <w:rsid w:val="00294ED8"/>
    <w:rsid w:val="003172BE"/>
    <w:rsid w:val="00327993"/>
    <w:rsid w:val="0038785A"/>
    <w:rsid w:val="003B5690"/>
    <w:rsid w:val="003F0699"/>
    <w:rsid w:val="004933A7"/>
    <w:rsid w:val="004A5225"/>
    <w:rsid w:val="0052727E"/>
    <w:rsid w:val="0052789B"/>
    <w:rsid w:val="00547230"/>
    <w:rsid w:val="00571E9D"/>
    <w:rsid w:val="005A5688"/>
    <w:rsid w:val="006735F8"/>
    <w:rsid w:val="00674416"/>
    <w:rsid w:val="006868FF"/>
    <w:rsid w:val="006A465D"/>
    <w:rsid w:val="00707F96"/>
    <w:rsid w:val="007D6145"/>
    <w:rsid w:val="009264EF"/>
    <w:rsid w:val="00946BC1"/>
    <w:rsid w:val="00AB2ECE"/>
    <w:rsid w:val="00B1197C"/>
    <w:rsid w:val="00B531C1"/>
    <w:rsid w:val="00B61F99"/>
    <w:rsid w:val="00BB4506"/>
    <w:rsid w:val="00BE1D6E"/>
    <w:rsid w:val="00C57715"/>
    <w:rsid w:val="00D03D31"/>
    <w:rsid w:val="00D327ED"/>
    <w:rsid w:val="00D73D00"/>
    <w:rsid w:val="00DB1573"/>
    <w:rsid w:val="00E36A54"/>
    <w:rsid w:val="00E4477C"/>
    <w:rsid w:val="00F76D02"/>
    <w:rsid w:val="00F944A0"/>
    <w:rsid w:val="00FC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472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27</cp:revision>
  <cp:lastPrinted>2023-03-07T06:47:00Z</cp:lastPrinted>
  <dcterms:created xsi:type="dcterms:W3CDTF">2018-05-03T09:11:00Z</dcterms:created>
  <dcterms:modified xsi:type="dcterms:W3CDTF">2024-03-06T08:08:00Z</dcterms:modified>
</cp:coreProperties>
</file>